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CellMar>
          <w:left w:w="0" w:type="dxa"/>
          <w:right w:w="0" w:type="dxa"/>
        </w:tblCellMar>
        <w:tblLook w:val="04A0" w:firstRow="1" w:lastRow="0" w:firstColumn="1" w:lastColumn="0" w:noHBand="0" w:noVBand="1"/>
      </w:tblPr>
      <w:tblGrid>
        <w:gridCol w:w="9000"/>
      </w:tblGrid>
      <w:tr w:rsidR="00E37EA2" w:rsidRPr="00E37EA2" w:rsidTr="00E37EA2">
        <w:tc>
          <w:tcPr>
            <w:tcW w:w="5000" w:type="pct"/>
            <w:shd w:val="clear" w:color="auto" w:fill="FFFFFF"/>
            <w:tcMar>
              <w:top w:w="15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00"/>
            </w:tblGrid>
            <w:tr w:rsidR="00E37EA2" w:rsidRPr="00E37EA2">
              <w:trPr>
                <w:jc w:val="center"/>
              </w:trPr>
              <w:tc>
                <w:tcPr>
                  <w:tcW w:w="4000" w:type="pct"/>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E37EA2" w:rsidRPr="00E37EA2">
                    <w:trPr>
                      <w:jc w:val="center"/>
                    </w:trPr>
                    <w:tc>
                      <w:tcPr>
                        <w:tcW w:w="0" w:type="auto"/>
                        <w:tcMar>
                          <w:top w:w="150" w:type="dxa"/>
                          <w:left w:w="150" w:type="dxa"/>
                          <w:bottom w:w="150" w:type="dxa"/>
                          <w:right w:w="150" w:type="dxa"/>
                        </w:tcMar>
                        <w:hideMark/>
                      </w:tcPr>
                      <w:p w:rsidR="00E37EA2" w:rsidRPr="00E37EA2" w:rsidRDefault="00E37EA2" w:rsidP="00E37EA2">
                        <w:pPr>
                          <w:spacing w:before="100" w:beforeAutospacing="1" w:after="150" w:line="420" w:lineRule="atLeast"/>
                          <w:outlineLvl w:val="1"/>
                          <w:rPr>
                            <w:rFonts w:ascii="&amp;quot" w:eastAsia="Times New Roman" w:hAnsi="&amp;quot" w:cs="Times New Roman"/>
                            <w:b/>
                            <w:bCs/>
                            <w:sz w:val="36"/>
                            <w:szCs w:val="36"/>
                            <w:lang w:eastAsia="en-GB"/>
                          </w:rPr>
                        </w:pPr>
                        <w:bookmarkStart w:id="0" w:name="_GoBack" w:colFirst="0" w:colLast="0"/>
                        <w:r w:rsidRPr="00E37EA2">
                          <w:rPr>
                            <w:rFonts w:ascii="&amp;quot" w:eastAsia="Times New Roman" w:hAnsi="&amp;quot" w:cs="Times New Roman"/>
                            <w:color w:val="333333"/>
                            <w:sz w:val="30"/>
                            <w:szCs w:val="30"/>
                            <w:lang w:eastAsia="en-GB"/>
                          </w:rPr>
                          <w:t>Whirlpool Initiates Recall For 21 Further Washing Machine Models</w:t>
                        </w:r>
                      </w:p>
                    </w:tc>
                  </w:tr>
                  <w:bookmarkEnd w:id="0"/>
                </w:tbl>
                <w:p w:rsidR="00E37EA2" w:rsidRPr="00E37EA2" w:rsidRDefault="00E37EA2" w:rsidP="00E37EA2">
                  <w:pPr>
                    <w:spacing w:after="0" w:line="240" w:lineRule="auto"/>
                    <w:jc w:val="center"/>
                    <w:rPr>
                      <w:rFonts w:ascii="Times New Roman" w:eastAsia="Times New Roman" w:hAnsi="Times New Roman" w:cs="Times New Roman"/>
                      <w:sz w:val="24"/>
                      <w:szCs w:val="24"/>
                      <w:lang w:eastAsia="en-GB"/>
                    </w:rPr>
                  </w:pPr>
                </w:p>
              </w:tc>
            </w:tr>
          </w:tbl>
          <w:p w:rsidR="00E37EA2" w:rsidRPr="00E37EA2" w:rsidRDefault="00E37EA2" w:rsidP="00E37EA2">
            <w:pPr>
              <w:spacing w:after="0" w:line="240" w:lineRule="auto"/>
              <w:jc w:val="center"/>
              <w:rPr>
                <w:rFonts w:ascii="&amp;quot" w:eastAsia="Times New Roman" w:hAnsi="&amp;quot" w:cs="Times New Roman"/>
                <w:color w:val="333333"/>
                <w:sz w:val="17"/>
                <w:szCs w:val="17"/>
                <w:lang w:eastAsia="en-GB"/>
              </w:rPr>
            </w:pPr>
          </w:p>
        </w:tc>
      </w:tr>
      <w:tr w:rsidR="00E37EA2" w:rsidRPr="00E37EA2" w:rsidTr="00E37EA2">
        <w:tc>
          <w:tcPr>
            <w:tcW w:w="0" w:type="auto"/>
            <w:shd w:val="clear" w:color="auto" w:fill="FFFFFF"/>
            <w:tcMar>
              <w:top w:w="0" w:type="dxa"/>
              <w:left w:w="300" w:type="dxa"/>
              <w:bottom w:w="150" w:type="dxa"/>
              <w:right w:w="300" w:type="dxa"/>
            </w:tcMar>
            <w:vAlign w:val="center"/>
            <w:hideMark/>
          </w:tcPr>
          <w:p w:rsidR="00E37EA2" w:rsidRPr="00E37EA2" w:rsidRDefault="00E37EA2" w:rsidP="00E37EA2">
            <w:pPr>
              <w:spacing w:after="0" w:line="300" w:lineRule="atLeast"/>
              <w:jc w:val="center"/>
              <w:rPr>
                <w:rFonts w:ascii="&amp;quot" w:eastAsia="Times New Roman" w:hAnsi="&amp;quot" w:cs="Times New Roman"/>
                <w:color w:val="555555"/>
                <w:sz w:val="23"/>
                <w:szCs w:val="23"/>
                <w:lang w:eastAsia="en-GB"/>
              </w:rPr>
            </w:pPr>
            <w:r w:rsidRPr="00E37EA2">
              <w:rPr>
                <w:rFonts w:ascii="&amp;quot" w:eastAsia="Times New Roman" w:hAnsi="&amp;quot" w:cs="Times New Roman"/>
                <w:color w:val="555555"/>
                <w:sz w:val="23"/>
                <w:szCs w:val="23"/>
                <w:lang w:eastAsia="en-GB"/>
              </w:rPr>
              <w:pict>
                <v:rect id="_x0000_i1025" style="width:451.3pt;height:1.5pt" o:hralign="center" o:hrstd="t" o:hrnoshade="t" o:hr="t" fillcolor="#e47e2a" stroked="f"/>
              </w:pict>
            </w:r>
          </w:p>
        </w:tc>
      </w:tr>
      <w:tr w:rsidR="00E37EA2" w:rsidRPr="00E37EA2" w:rsidTr="00E37EA2">
        <w:tc>
          <w:tcPr>
            <w:tcW w:w="0" w:type="auto"/>
            <w:shd w:val="clear" w:color="auto" w:fill="FFFFFF"/>
            <w:tcMar>
              <w:top w:w="0" w:type="dxa"/>
              <w:left w:w="300" w:type="dxa"/>
              <w:bottom w:w="0" w:type="dxa"/>
              <w:right w:w="300" w:type="dxa"/>
            </w:tcMar>
            <w:vAlign w:val="center"/>
            <w:hideMark/>
          </w:tcPr>
          <w:p w:rsidR="00E37EA2" w:rsidRPr="00E37EA2" w:rsidRDefault="00E37EA2" w:rsidP="00E37EA2">
            <w:pPr>
              <w:spacing w:after="0" w:line="240" w:lineRule="auto"/>
              <w:rPr>
                <w:rFonts w:ascii="&amp;quot" w:eastAsia="Times New Roman" w:hAnsi="&amp;quot" w:cs="Times New Roman"/>
                <w:color w:val="333333"/>
                <w:sz w:val="24"/>
                <w:szCs w:val="24"/>
                <w:lang w:eastAsia="en-GB"/>
              </w:rPr>
            </w:pPr>
            <w:r w:rsidRPr="00E37EA2">
              <w:rPr>
                <w:rFonts w:ascii="&amp;quot" w:eastAsia="Times New Roman" w:hAnsi="&amp;quot" w:cs="Times New Roman"/>
                <w:color w:val="555555"/>
                <w:sz w:val="23"/>
                <w:szCs w:val="23"/>
                <w:lang w:eastAsia="en-GB"/>
              </w:rPr>
              <w:t>Nottinghamshire County Council’s Trading Standards Team is reminding consumers to check their appliances following a further recall of Whirlpool washing machines.</w:t>
            </w:r>
            <w:r w:rsidRPr="00E37EA2">
              <w:rPr>
                <w:rFonts w:ascii="&amp;quot" w:eastAsia="Times New Roman" w:hAnsi="&amp;quot" w:cs="Times New Roman"/>
                <w:color w:val="555555"/>
                <w:sz w:val="23"/>
                <w:szCs w:val="23"/>
                <w:lang w:eastAsia="en-GB"/>
              </w:rPr>
              <w:br/>
              <w:t> </w:t>
            </w:r>
            <w:r w:rsidRPr="00E37EA2">
              <w:rPr>
                <w:rFonts w:ascii="&amp;quot" w:eastAsia="Times New Roman" w:hAnsi="&amp;quot" w:cs="Times New Roman"/>
                <w:color w:val="555555"/>
                <w:sz w:val="23"/>
                <w:szCs w:val="23"/>
                <w:lang w:eastAsia="en-GB"/>
              </w:rPr>
              <w:br/>
              <w:t xml:space="preserve">Last December, the manufacturer announced Hotpoint and </w:t>
            </w:r>
            <w:proofErr w:type="spellStart"/>
            <w:r w:rsidRPr="00E37EA2">
              <w:rPr>
                <w:rFonts w:ascii="&amp;quot" w:eastAsia="Times New Roman" w:hAnsi="&amp;quot" w:cs="Times New Roman"/>
                <w:color w:val="555555"/>
                <w:sz w:val="23"/>
                <w:szCs w:val="23"/>
                <w:lang w:eastAsia="en-GB"/>
              </w:rPr>
              <w:t>Indesit</w:t>
            </w:r>
            <w:proofErr w:type="spellEnd"/>
            <w:r w:rsidRPr="00E37EA2">
              <w:rPr>
                <w:rFonts w:ascii="&amp;quot" w:eastAsia="Times New Roman" w:hAnsi="&amp;quot" w:cs="Times New Roman"/>
                <w:color w:val="555555"/>
                <w:sz w:val="23"/>
                <w:szCs w:val="23"/>
                <w:lang w:eastAsia="en-GB"/>
              </w:rPr>
              <w:t xml:space="preserve"> washing machines that were made between 2014 and 2018 were affected by a door lock defect which may cause the machine to catch fire. According to the Office for Product Safety and Standards (OPSS), Whirlpool has identified a further 55,000 machines - Hotpoint and </w:t>
            </w:r>
            <w:proofErr w:type="spellStart"/>
            <w:r w:rsidRPr="00E37EA2">
              <w:rPr>
                <w:rFonts w:ascii="&amp;quot" w:eastAsia="Times New Roman" w:hAnsi="&amp;quot" w:cs="Times New Roman"/>
                <w:color w:val="555555"/>
                <w:sz w:val="23"/>
                <w:szCs w:val="23"/>
                <w:lang w:eastAsia="en-GB"/>
              </w:rPr>
              <w:t>Indesit</w:t>
            </w:r>
            <w:proofErr w:type="spellEnd"/>
            <w:r w:rsidRPr="00E37EA2">
              <w:rPr>
                <w:rFonts w:ascii="&amp;quot" w:eastAsia="Times New Roman" w:hAnsi="&amp;quot" w:cs="Times New Roman"/>
                <w:color w:val="555555"/>
                <w:sz w:val="23"/>
                <w:szCs w:val="23"/>
                <w:lang w:eastAsia="en-GB"/>
              </w:rPr>
              <w:t xml:space="preserve"> brands - impacted by this fault. </w:t>
            </w:r>
            <w:r w:rsidRPr="00E37EA2">
              <w:rPr>
                <w:rFonts w:ascii="&amp;quot" w:eastAsia="Times New Roman" w:hAnsi="&amp;quot" w:cs="Times New Roman"/>
                <w:color w:val="555555"/>
                <w:sz w:val="23"/>
                <w:szCs w:val="23"/>
                <w:lang w:eastAsia="en-GB"/>
              </w:rPr>
              <w:br/>
              <w:t> </w:t>
            </w:r>
            <w:r w:rsidRPr="00E37EA2">
              <w:rPr>
                <w:rFonts w:ascii="&amp;quot" w:eastAsia="Times New Roman" w:hAnsi="&amp;quot" w:cs="Times New Roman"/>
                <w:color w:val="555555"/>
                <w:sz w:val="23"/>
                <w:szCs w:val="23"/>
                <w:lang w:eastAsia="en-GB"/>
              </w:rPr>
              <w:br/>
              <w:t>Anyone with an appliance of this nature is urged to check whether it is affected by the recall using the Whirlpool model checker at https://washingmachinerecall.whirlpool.co.uk or by contacting the Whirlpool customer service team on 0800 316 1442.</w:t>
            </w:r>
            <w:r w:rsidRPr="00E37EA2">
              <w:rPr>
                <w:rFonts w:ascii="&amp;quot" w:eastAsia="Times New Roman" w:hAnsi="&amp;quot" w:cs="Times New Roman"/>
                <w:color w:val="555555"/>
                <w:sz w:val="23"/>
                <w:szCs w:val="23"/>
                <w:lang w:eastAsia="en-GB"/>
              </w:rPr>
              <w:br/>
              <w:t> </w:t>
            </w:r>
            <w:r w:rsidRPr="00E37EA2">
              <w:rPr>
                <w:rFonts w:ascii="&amp;quot" w:eastAsia="Times New Roman" w:hAnsi="&amp;quot" w:cs="Times New Roman"/>
                <w:color w:val="555555"/>
                <w:sz w:val="23"/>
                <w:szCs w:val="23"/>
                <w:lang w:eastAsia="en-GB"/>
              </w:rPr>
              <w:br/>
              <w:t>During this time, consumers will be concerned about undertaking a product recall during the pandemic lockdown. The Chartered Trading Standards Institute urges Whirlpool to act swiftly and take all steps necessary to rectify this situation while adhering to the Government guidance during lockdown. In the meantime, the Office for Product Safety and Standards (OPSS) is asking the public to unplug affected machines and contact Whirlpool immediately.</w:t>
            </w:r>
            <w:r w:rsidRPr="00E37EA2">
              <w:rPr>
                <w:rFonts w:ascii="&amp;quot" w:eastAsia="Times New Roman" w:hAnsi="&amp;quot" w:cs="Times New Roman"/>
                <w:color w:val="555555"/>
                <w:sz w:val="23"/>
                <w:szCs w:val="23"/>
                <w:lang w:eastAsia="en-GB"/>
              </w:rPr>
              <w:br/>
              <w:t> </w:t>
            </w:r>
            <w:r w:rsidRPr="00E37EA2">
              <w:rPr>
                <w:rFonts w:ascii="&amp;quot" w:eastAsia="Times New Roman" w:hAnsi="&amp;quot" w:cs="Times New Roman"/>
                <w:color w:val="555555"/>
                <w:sz w:val="23"/>
                <w:szCs w:val="23"/>
                <w:lang w:eastAsia="en-GB"/>
              </w:rPr>
              <w:br/>
              <w:t>It is important to take note of any recalls on household appliances, and if you are unsure of whether your appliance is subject to a recall, we always advise you to check with the manufacturer.  For consumer advice please contact the Citizens’ Advice Consumer Service on 03454 04 05 06.</w:t>
            </w:r>
            <w:r w:rsidRPr="00E37EA2">
              <w:rPr>
                <w:rFonts w:ascii="&amp;quot" w:eastAsia="Times New Roman" w:hAnsi="&amp;quot" w:cs="Times New Roman"/>
                <w:color w:val="555555"/>
                <w:sz w:val="23"/>
                <w:szCs w:val="23"/>
                <w:lang w:eastAsia="en-GB"/>
              </w:rPr>
              <w:br/>
              <w:t> </w:t>
            </w:r>
            <w:r w:rsidRPr="00E37EA2">
              <w:rPr>
                <w:rFonts w:ascii="&amp;quot" w:eastAsia="Times New Roman" w:hAnsi="&amp;quot" w:cs="Times New Roman"/>
                <w:noProof/>
                <w:color w:val="555555"/>
                <w:sz w:val="23"/>
                <w:szCs w:val="23"/>
                <w:bdr w:val="single" w:sz="8" w:space="0" w:color="auto" w:frame="1"/>
                <w:lang w:eastAsia="en-GB"/>
              </w:rPr>
              <mc:AlternateContent>
                <mc:Choice Requires="wps">
                  <w:drawing>
                    <wp:inline distT="0" distB="0" distL="0" distR="0" wp14:anchorId="529DCE48" wp14:editId="6E25679E">
                      <wp:extent cx="9525" cy="9525"/>
                      <wp:effectExtent l="0" t="0" r="0" b="0"/>
                      <wp:docPr id="1" name="AutoShape 2" descr="Image removed by sen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E55477" id="AutoShape 2" o:spid="_x0000_s1026" alt="Image removed by sender."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" filled="f" stroked="f">
                      <o:lock v:ext="edit" aspectratio="t"/>
                      <w10:anchorlock/>
                    </v:rect>
                  </w:pict>
                </mc:Fallback>
              </mc:AlternateContent>
            </w:r>
            <w:r w:rsidRPr="00E37EA2">
              <w:rPr>
                <w:rFonts w:ascii="&amp;quot" w:eastAsia="Times New Roman" w:hAnsi="&amp;quot" w:cs="Times New Roman"/>
                <w:color w:val="555555"/>
                <w:sz w:val="23"/>
                <w:szCs w:val="23"/>
                <w:lang w:eastAsia="en-GB"/>
              </w:rPr>
              <w:t xml:space="preserve"> </w:t>
            </w:r>
          </w:p>
        </w:tc>
      </w:tr>
      <w:tr w:rsidR="00E37EA2" w:rsidRPr="00E37EA2" w:rsidTr="00E37EA2">
        <w:tc>
          <w:tcPr>
            <w:tcW w:w="0" w:type="auto"/>
            <w:shd w:val="clear" w:color="auto" w:fill="FFFFFF"/>
            <w:tcMar>
              <w:top w:w="150" w:type="dxa"/>
              <w:left w:w="300" w:type="dxa"/>
              <w:bottom w:w="150" w:type="dxa"/>
              <w:right w:w="300" w:type="dxa"/>
            </w:tcMar>
            <w:vAlign w:val="center"/>
            <w:hideMark/>
          </w:tcPr>
          <w:p w:rsidR="00E37EA2" w:rsidRPr="00E37EA2" w:rsidRDefault="00E37EA2" w:rsidP="00E37EA2">
            <w:pPr>
              <w:spacing w:after="100" w:afterAutospacing="1" w:line="300" w:lineRule="atLeast"/>
              <w:rPr>
                <w:rFonts w:ascii="&amp;quot" w:eastAsia="Times New Roman" w:hAnsi="&amp;quot" w:cs="Times New Roman"/>
                <w:color w:val="333333"/>
                <w:sz w:val="24"/>
                <w:szCs w:val="24"/>
                <w:lang w:eastAsia="en-GB"/>
              </w:rPr>
            </w:pPr>
            <w:r w:rsidRPr="00E37EA2">
              <w:rPr>
                <w:rFonts w:ascii="&amp;quot" w:eastAsia="Times New Roman" w:hAnsi="&amp;quot" w:cs="Times New Roman"/>
                <w:b/>
                <w:bCs/>
                <w:i/>
                <w:iCs/>
                <w:color w:val="555555"/>
                <w:sz w:val="23"/>
                <w:szCs w:val="23"/>
                <w:lang w:eastAsia="en-GB"/>
              </w:rPr>
              <w:t>Message Sent By</w:t>
            </w:r>
            <w:r w:rsidRPr="00E37EA2">
              <w:rPr>
                <w:rFonts w:ascii="&amp;quot" w:eastAsia="Times New Roman" w:hAnsi="&amp;quot" w:cs="Times New Roman"/>
                <w:color w:val="555555"/>
                <w:sz w:val="23"/>
                <w:szCs w:val="23"/>
                <w:lang w:eastAsia="en-GB"/>
              </w:rPr>
              <w:br/>
              <w:t>Tim Watson (Nottinghamshire County Council, Trading Standards Officer, Nottinghamshire)</w:t>
            </w:r>
          </w:p>
        </w:tc>
      </w:tr>
    </w:tbl>
    <w:p w:rsidR="009E01C7" w:rsidRDefault="009E01C7"/>
    <w:sectPr w:rsidR="009E01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A2"/>
    <w:rsid w:val="009E01C7"/>
    <w:rsid w:val="00E37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4D886-0B0D-4748-94F8-159A0ED1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6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Pick</dc:creator>
  <cp:keywords/>
  <dc:description/>
  <cp:lastModifiedBy>Nigel Pick</cp:lastModifiedBy>
  <cp:revision>1</cp:revision>
  <dcterms:created xsi:type="dcterms:W3CDTF">2020-05-04T10:55:00Z</dcterms:created>
  <dcterms:modified xsi:type="dcterms:W3CDTF">2020-05-04T10:55:00Z</dcterms:modified>
</cp:coreProperties>
</file>